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3A4F">
      <w:pPr>
        <w:pStyle w:val="1"/>
      </w:pPr>
      <w:hyperlink r:id="rId4" w:history="1">
        <w:r>
          <w:rPr>
            <w:rStyle w:val="a4"/>
          </w:rPr>
          <w:t>Информация Пенсионного фонда РФ</w:t>
        </w:r>
        <w:r>
          <w:rPr>
            <w:rStyle w:val="a4"/>
          </w:rPr>
          <w:br/>
          <w:t>"Изменения для плательщиков страховых взносов в 2014 году"</w:t>
        </w:r>
      </w:hyperlink>
    </w:p>
    <w:p w:rsidR="00000000" w:rsidRDefault="00403A4F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03A4F">
      <w:pPr>
        <w:pStyle w:val="afa"/>
      </w:pPr>
      <w:bookmarkStart w:id="0" w:name="sub_175509116"/>
      <w:r>
        <w:t xml:space="preserve">О порядке уплаты страховых взносов лицами, уплачивающими страховые взносы в фиксированном размере, в 2014 г. см. </w:t>
      </w:r>
      <w:hyperlink r:id="rId5" w:history="1">
        <w:r>
          <w:rPr>
            <w:rStyle w:val="a4"/>
          </w:rPr>
          <w:t>информацию</w:t>
        </w:r>
      </w:hyperlink>
      <w:r>
        <w:t xml:space="preserve"> Пенсионного фонда РФ</w:t>
      </w:r>
    </w:p>
    <w:bookmarkEnd w:id="0"/>
    <w:p w:rsidR="00000000" w:rsidRDefault="00403A4F">
      <w:r>
        <w:t xml:space="preserve">Важно! С 1 января 2014 года вступает в силу </w:t>
      </w:r>
      <w:hyperlink r:id="rId6" w:history="1">
        <w:r>
          <w:rPr>
            <w:rStyle w:val="a4"/>
          </w:rPr>
          <w:t>Федеральный закон</w:t>
        </w:r>
      </w:hyperlink>
      <w:r>
        <w:t xml:space="preserve"> от 02.12.2013 N 333-ФЗ "О внесении изменений в статьи 58 и 58.2 Федерального закона "О страховых взносах в Пенсионный фонд Российской Федерации, Фонд социального страхования Российской Федерации, Федеральный фонд обязате</w:t>
      </w:r>
      <w:r>
        <w:t>льного медицинского страхования", которым будут внесены изменения в части сохранения на период до 2016 года тарифа страховых взносов в государственные внебюджетные фонды Российской Федерации на уровне 2013 года в отношении большинства плательщиков в размер</w:t>
      </w:r>
      <w:r>
        <w:t>е 30,0% в пределах установленной величины базы для начисления страховых взносов и в размере 10,0% в бюджет Пенсионный фонд Российской Федерации сверх установленной предельной величины базы для начисления страховых взносов, а также в части продления периода</w:t>
      </w:r>
      <w:r>
        <w:t xml:space="preserve"> применения льготного тарифа страховых взносов до 2018 года для малых предприятий, осуществляющих деятельность в производственной и социальной сферах, социально ориентированных некоммерческих организаций, благотворительных организаций и аптечных организаци</w:t>
      </w:r>
      <w:r>
        <w:t>й с постепенным ежегодным увеличением совокупного тарифа страховых взносов для данной категории плательщиков на 2 процентных пункта.</w:t>
      </w:r>
    </w:p>
    <w:p w:rsidR="00000000" w:rsidRDefault="00403A4F"/>
    <w:p w:rsidR="00000000" w:rsidRDefault="00403A4F">
      <w:r>
        <w:t>Для организаций, оказывающих инжиниринговые услуги тариф страхового взноса установлен на общих основаниях - 22% + 10%.</w:t>
      </w:r>
    </w:p>
    <w:p w:rsidR="00000000" w:rsidRDefault="00403A4F">
      <w:r>
        <w:t>Пла</w:t>
      </w:r>
      <w:r>
        <w:t xml:space="preserve">тельщикам страховых взносов следует учитывать, что за декабрь 2013 года суммы страховых взносов, зачисляемых в ПФР на выплату страховой и накопительной частей трудовой пенсии, уплачиваются по прежним кодам </w:t>
      </w:r>
      <w:hyperlink r:id="rId7" w:history="1">
        <w:r>
          <w:rPr>
            <w:rStyle w:val="a4"/>
          </w:rPr>
          <w:t>бюджетной кл</w:t>
        </w:r>
        <w:r>
          <w:rPr>
            <w:rStyle w:val="a4"/>
          </w:rPr>
          <w:t>ассификации</w:t>
        </w:r>
      </w:hyperlink>
      <w:r>
        <w:t xml:space="preserve"> (КБК), установленным в 2013 году.</w:t>
      </w:r>
    </w:p>
    <w:p w:rsidR="00000000" w:rsidRDefault="00403A4F">
      <w:r>
        <w:t>Срок уплаты страховых взносов за декабрь 2013 года - до 15 января 2014 года.</w:t>
      </w:r>
    </w:p>
    <w:p w:rsidR="00000000" w:rsidRDefault="00403A4F"/>
    <w:p w:rsidR="00000000" w:rsidRDefault="00403A4F">
      <w:r>
        <w:t xml:space="preserve">Важно! В 2014 году </w:t>
      </w:r>
      <w:hyperlink r:id="rId8" w:history="1">
        <w:r>
          <w:rPr>
            <w:rStyle w:val="a4"/>
          </w:rPr>
          <w:t>КБК</w:t>
        </w:r>
      </w:hyperlink>
      <w:r>
        <w:t xml:space="preserve"> по всем видам платежей администрируемых Пенсионным фондом Российс</w:t>
      </w:r>
      <w:r>
        <w:t>кой Федерации, остаются прежними, не изменяются.</w:t>
      </w:r>
    </w:p>
    <w:p w:rsidR="00000000" w:rsidRDefault="00403A4F">
      <w:r>
        <w:t xml:space="preserve">Предельная величина базы, с которой уплачиваются страховые взносы в систему обязательного пенсионного страхования, в 2014 году составит 624 тыс. рублей плюс 10% сверх этой суммы (в соответствии с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РФ от 30.11.2013 N 1101 "О предельной величине базы для начисления страховых взносов в государственные внебюджетные фонды с 1 января 2014 г.").</w:t>
      </w:r>
    </w:p>
    <w:p w:rsidR="00000000" w:rsidRDefault="00403A4F"/>
    <w:p w:rsidR="00000000" w:rsidRDefault="00403A4F">
      <w:pPr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403A4F">
      <w:pPr>
        <w:pStyle w:val="1"/>
      </w:pPr>
      <w:bookmarkStart w:id="1" w:name="sub_1"/>
      <w:r>
        <w:lastRenderedPageBreak/>
        <w:t>Тарифы страховых взносов на ОПС</w:t>
      </w:r>
    </w:p>
    <w:bookmarkEnd w:id="1"/>
    <w:p w:rsidR="00000000" w:rsidRDefault="00403A4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70"/>
        <w:gridCol w:w="1409"/>
        <w:gridCol w:w="1393"/>
        <w:gridCol w:w="1633"/>
        <w:gridCol w:w="25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2013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2014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2015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с 2016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ИП, применяющих патентную систему налогообложения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20%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20%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20%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20%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Аптечные организации, благотворительные фонды, некоммерческие организации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20%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20%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20%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20%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Организации, оказывающие инжиниринговые услуги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22%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22%+10%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22%+10%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22%+10%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Организации, производящие выплаты членам экипажей судов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0%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0%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0%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2016-2027 гг. 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Организации СМИ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21,6%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23,2%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22%+10%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22%+10%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Хозяйственные общества, созданные научными учреждениями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8%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8%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8%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2016-2017 гг. 8%</w:t>
            </w:r>
          </w:p>
          <w:p w:rsidR="00000000" w:rsidRDefault="00403A4F">
            <w:pPr>
              <w:pStyle w:val="afff"/>
            </w:pPr>
            <w:r>
              <w:t>2018г. 13%</w:t>
            </w:r>
          </w:p>
          <w:p w:rsidR="00000000" w:rsidRDefault="00403A4F">
            <w:pPr>
              <w:pStyle w:val="afff"/>
            </w:pPr>
            <w:r>
              <w:t>2019г. 20%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Организации и ИП, применяющие единый сельскохозяйственный налог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21%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21%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22%+10%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22%+10%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Организации и ИП, имеющие статус резидента технико-внедренческой особой экономической зоны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8%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8%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8%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2016-2017 гг. 8%</w:t>
            </w:r>
          </w:p>
          <w:p w:rsidR="00000000" w:rsidRDefault="00403A4F">
            <w:pPr>
              <w:pStyle w:val="afff"/>
            </w:pPr>
            <w:r>
              <w:t>2018г. 13%</w:t>
            </w:r>
          </w:p>
          <w:p w:rsidR="00000000" w:rsidRDefault="00403A4F">
            <w:pPr>
              <w:pStyle w:val="afff"/>
            </w:pPr>
            <w:r>
              <w:t>2019г. 20%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Организации, использующие труд инвалидов, общественные организации инвалидов и их учреждения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21%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21%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22%+10%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22%+10%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Организации, осуществляющие деятельность в области IT-технологий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8%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8%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8%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2016-2017 гг. 8%</w:t>
            </w:r>
          </w:p>
          <w:p w:rsidR="00000000" w:rsidRDefault="00403A4F">
            <w:pPr>
              <w:pStyle w:val="afff"/>
            </w:pPr>
            <w:r>
              <w:t>2018г. 13%</w:t>
            </w:r>
          </w:p>
          <w:p w:rsidR="00000000" w:rsidRDefault="00403A4F">
            <w:pPr>
              <w:pStyle w:val="afff"/>
            </w:pPr>
            <w:r>
              <w:t>2019г. 20%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Организации и ИП, применяющие УСН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20%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20%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20%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20%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Организации инновационного центра "Сколково"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14%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14%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14%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14% в течение 10 лет с момента присвоения статуса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Сельскохозяйственные товаропроизводители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21%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21%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22%+10%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22%+10%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Основной тариф страховых взносов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22%+10%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22%+10%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22%+10%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22%+10%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403A4F">
            <w:pPr>
              <w:pStyle w:val="afff"/>
            </w:pPr>
            <w:r>
              <w:t>Справочно: Предельная величины базы для начисления страховых взносов 2013 год - 568 000 руб.</w:t>
            </w:r>
          </w:p>
        </w:tc>
      </w:tr>
    </w:tbl>
    <w:p w:rsidR="00000000" w:rsidRDefault="00403A4F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403A4F"/>
    <w:p w:rsidR="00000000" w:rsidRDefault="00403A4F">
      <w:bookmarkStart w:id="2" w:name="sub_3"/>
      <w:r>
        <w:t xml:space="preserve">Согласно </w:t>
      </w:r>
      <w:hyperlink r:id="rId10" w:history="1">
        <w:r>
          <w:rPr>
            <w:rStyle w:val="a4"/>
          </w:rPr>
          <w:t>пункту 4 статьи 3</w:t>
        </w:r>
      </w:hyperlink>
      <w:r>
        <w:t xml:space="preserve"> Закона N 351-ФЗ уплата страховых взносов на обязательное пенсионное страхование (начиная с расчетного периода 2014 года) осуществляется единым расчетным документом, направляемым в Пенсионный фонд Российской Федерации на соответствующие счета Федерального </w:t>
      </w:r>
      <w:r>
        <w:t xml:space="preserve">казначейства, с применением кода </w:t>
      </w:r>
      <w:hyperlink r:id="rId11" w:history="1">
        <w:r>
          <w:rPr>
            <w:rStyle w:val="a4"/>
          </w:rPr>
          <w:t>бюджетной классификации</w:t>
        </w:r>
      </w:hyperlink>
      <w:r>
        <w:t xml:space="preserve"> (КБК), предназначенного для учета страховых взносов на обязательное пенсионное страхование в Российской Федерации, зачисляемых в Пенсионный фонд Российской Фе</w:t>
      </w:r>
      <w:r>
        <w:t>дерации на выплату страховой части трудовой пенсии, в том числе 10 процентов свыше установленной предельной величины базы для начисления страховых взносов).</w:t>
      </w:r>
    </w:p>
    <w:bookmarkEnd w:id="2"/>
    <w:p w:rsidR="00000000" w:rsidRDefault="00403A4F">
      <w:r>
        <w:t xml:space="preserve">В соответствии с </w:t>
      </w:r>
      <w:hyperlink r:id="rId12" w:history="1">
        <w:r>
          <w:rPr>
            <w:rStyle w:val="a4"/>
          </w:rPr>
          <w:t>частью 2 статьи 33.1</w:t>
        </w:r>
      </w:hyperlink>
      <w:r>
        <w:t>. Федерального за</w:t>
      </w:r>
      <w:r>
        <w:t xml:space="preserve">кона от 15.12.2001 г. N 167-ФЗ (в ред. </w:t>
      </w:r>
      <w:hyperlink r:id="rId13" w:history="1">
        <w:r>
          <w:rPr>
            <w:rStyle w:val="a4"/>
          </w:rPr>
          <w:t>Федерального закона</w:t>
        </w:r>
      </w:hyperlink>
      <w:r>
        <w:t xml:space="preserve"> от 04.12.2013 N 351-ФЗ) установлены следующие тарифы страховых взносов:</w:t>
      </w:r>
    </w:p>
    <w:p w:rsidR="00000000" w:rsidRDefault="00403A4F">
      <w:r>
        <w:t xml:space="preserve">В 2014 - 2016 годах для страхователей, указанных в </w:t>
      </w:r>
      <w:hyperlink r:id="rId14" w:history="1">
        <w:r>
          <w:rPr>
            <w:rStyle w:val="a4"/>
          </w:rPr>
          <w:t>под</w:t>
        </w:r>
        <w:r>
          <w:rPr>
            <w:rStyle w:val="a4"/>
          </w:rPr>
          <w:t>пункте 1 пункта 1 статьи 6</w:t>
        </w:r>
      </w:hyperlink>
      <w:r>
        <w:t xml:space="preserve"> настоящего Федерального закона, за исключением страхователей, указанных в </w:t>
      </w:r>
      <w:hyperlink r:id="rId15" w:history="1">
        <w:r>
          <w:rPr>
            <w:rStyle w:val="a4"/>
          </w:rPr>
          <w:t>пунктах 4</w:t>
        </w:r>
      </w:hyperlink>
      <w:r>
        <w:t xml:space="preserve"> и </w:t>
      </w:r>
      <w:hyperlink r:id="rId16" w:history="1">
        <w:r>
          <w:rPr>
            <w:rStyle w:val="a4"/>
          </w:rPr>
          <w:t>6 статьи 33</w:t>
        </w:r>
      </w:hyperlink>
      <w:r>
        <w:t xml:space="preserve"> настоящего Федерального закона, применяется тариф ст</w:t>
      </w:r>
      <w:r>
        <w:t xml:space="preserve">рахового взноса 22,0 процента (в пределах установленной </w:t>
      </w:r>
      <w:hyperlink r:id="rId17" w:history="1">
        <w:r>
          <w:rPr>
            <w:rStyle w:val="a4"/>
          </w:rPr>
          <w:t>предельной величины</w:t>
        </w:r>
      </w:hyperlink>
      <w:r>
        <w:t xml:space="preserve"> базы для начисления страховых взносов) и 10,0 процента (свыше установленной предельной величины базы для начисления страховых взносов).</w:t>
      </w:r>
    </w:p>
    <w:p w:rsidR="00000000" w:rsidRDefault="00403A4F">
      <w:r>
        <w:t>Определ</w:t>
      </w:r>
      <w:r>
        <w:t xml:space="preserve">ение суммы страховых взносов по обязательному пенсионному страхованию на финансирование страховой части трудовой пенсии и накопительной части трудовой пенсии в отношении застрахованных лиц осуществляется Пенсионным фондом Российской Федерации на основании </w:t>
      </w:r>
      <w:r>
        <w:t>данных индивидуального (персонифицированного) учета в соответствии с выбранным застрахованным лицом вариантом пенсионного обеспечения (0,0 или 6,0 процента на финансирование накопительной части трудовой пенсии) по следующим тарифам:</w:t>
      </w:r>
    </w:p>
    <w:p w:rsidR="00000000" w:rsidRDefault="00403A4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53"/>
        <w:gridCol w:w="1728"/>
        <w:gridCol w:w="1729"/>
        <w:gridCol w:w="1728"/>
        <w:gridCol w:w="1729"/>
        <w:gridCol w:w="17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A4F">
            <w:pPr>
              <w:pStyle w:val="aff6"/>
              <w:jc w:val="center"/>
            </w:pPr>
            <w:r>
              <w:t>Тариф страхового взнос</w:t>
            </w:r>
            <w:r>
              <w:t>а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A4F">
            <w:pPr>
              <w:pStyle w:val="aff6"/>
              <w:jc w:val="center"/>
            </w:pPr>
            <w:r>
              <w:t>Для лиц 1966 года рождения и старше</w:t>
            </w:r>
          </w:p>
        </w:tc>
        <w:tc>
          <w:tcPr>
            <w:tcW w:w="6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A4F">
            <w:pPr>
              <w:pStyle w:val="aff6"/>
              <w:jc w:val="center"/>
            </w:pPr>
            <w:r>
              <w:t>Для лиц 1967 года рождения и моложе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6"/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6"/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A4F">
            <w:pPr>
              <w:pStyle w:val="aff6"/>
              <w:jc w:val="center"/>
            </w:pPr>
            <w:r>
              <w:t>Вариант пенсионного обеспечения 0,0 процента на финансирование накопительной части трудовой пенсии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A4F">
            <w:pPr>
              <w:pStyle w:val="aff6"/>
              <w:jc w:val="center"/>
            </w:pPr>
            <w:r>
              <w:t>Вариант пенсионного обеспечения 6,0 процента на финансирование накопительной части трудовой пенсии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6"/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6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A4F">
            <w:pPr>
              <w:pStyle w:val="aff6"/>
              <w:jc w:val="center"/>
            </w:pPr>
            <w:r>
              <w:t>на финансирование страховой части трудовой пенсии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A4F">
            <w:pPr>
              <w:pStyle w:val="aff6"/>
              <w:jc w:val="center"/>
            </w:pPr>
            <w:r>
              <w:t>на финансирование накопительной части трудовой пенсии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A4F">
            <w:pPr>
              <w:pStyle w:val="aff6"/>
              <w:jc w:val="center"/>
            </w:pPr>
            <w:r>
              <w:t>на финансирование страховой части трудовой пенсии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A4F">
            <w:pPr>
              <w:pStyle w:val="aff6"/>
              <w:jc w:val="center"/>
            </w:pPr>
            <w:r>
              <w:t>на финансирование накопительной части трудовой пенсии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A4F">
            <w:pPr>
              <w:pStyle w:val="afff"/>
            </w:pPr>
            <w:r>
              <w:t xml:space="preserve">22,0 процента (в пределах установленной предельной величины базы для начисления страховых </w:t>
            </w:r>
            <w:r>
              <w:lastRenderedPageBreak/>
              <w:t>взносов)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A4F">
            <w:pPr>
              <w:pStyle w:val="afff"/>
            </w:pPr>
            <w:r>
              <w:lastRenderedPageBreak/>
              <w:t>22,0 процента на финансирование страховой части трудовой пенсии, из них:</w:t>
            </w:r>
          </w:p>
          <w:p w:rsidR="00000000" w:rsidRDefault="00403A4F">
            <w:pPr>
              <w:pStyle w:val="afff"/>
            </w:pPr>
            <w:r>
              <w:t xml:space="preserve">6,0 процента </w:t>
            </w:r>
            <w:r>
              <w:lastRenderedPageBreak/>
              <w:t>- солидарная часть тарифа страховых взносов;</w:t>
            </w:r>
          </w:p>
          <w:p w:rsidR="00000000" w:rsidRDefault="00403A4F">
            <w:pPr>
              <w:pStyle w:val="afff"/>
            </w:pPr>
            <w:r>
              <w:t>16,0 процента - индивидуальная часть тарифа страховых взносов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A4F">
            <w:pPr>
              <w:pStyle w:val="afff"/>
            </w:pPr>
            <w:r>
              <w:lastRenderedPageBreak/>
              <w:t>22,0 процента, из них:</w:t>
            </w:r>
          </w:p>
          <w:p w:rsidR="00000000" w:rsidRDefault="00403A4F">
            <w:pPr>
              <w:pStyle w:val="afff"/>
            </w:pPr>
            <w:r>
              <w:t>6,0 процента - солидарная часть тарифа страховых взносов;</w:t>
            </w:r>
          </w:p>
          <w:p w:rsidR="00000000" w:rsidRDefault="00403A4F">
            <w:pPr>
              <w:pStyle w:val="afff"/>
            </w:pPr>
            <w:r>
              <w:t xml:space="preserve">16,0 </w:t>
            </w:r>
            <w:r>
              <w:lastRenderedPageBreak/>
              <w:t>процента - индивидуальная часть тарифа страховых в</w:t>
            </w:r>
            <w:r>
              <w:t>зносов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A4F">
            <w:pPr>
              <w:pStyle w:val="afff"/>
            </w:pPr>
            <w:r>
              <w:lastRenderedPageBreak/>
              <w:t>0,0 процента - индивидуальная часть тарифа страховых взносов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A4F">
            <w:pPr>
              <w:pStyle w:val="afff"/>
            </w:pPr>
            <w:r>
              <w:t>16,0 процента, из них:</w:t>
            </w:r>
          </w:p>
          <w:p w:rsidR="00000000" w:rsidRDefault="00403A4F">
            <w:pPr>
              <w:pStyle w:val="afff"/>
            </w:pPr>
            <w:r>
              <w:t>6,0 процента - солидарная часть тарифа страховых взносов;</w:t>
            </w:r>
          </w:p>
          <w:p w:rsidR="00000000" w:rsidRDefault="00403A4F">
            <w:pPr>
              <w:pStyle w:val="afff"/>
            </w:pPr>
            <w:r>
              <w:t xml:space="preserve">10,0 </w:t>
            </w:r>
            <w:r>
              <w:lastRenderedPageBreak/>
              <w:t>процента - индивидуальная часть тарифа страховых взносов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A4F">
            <w:pPr>
              <w:pStyle w:val="afff"/>
            </w:pPr>
            <w:r>
              <w:lastRenderedPageBreak/>
              <w:t>6,0 процента - индивидуальная часть тарифа ст</w:t>
            </w:r>
            <w:r>
              <w:t>раховых взносов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A4F">
            <w:pPr>
              <w:pStyle w:val="afff"/>
            </w:pPr>
            <w:r>
              <w:lastRenderedPageBreak/>
              <w:t>10,0 процента (свыше установленной предельной величины базы для начисления страховых взносов)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A4F">
            <w:pPr>
              <w:pStyle w:val="afff"/>
            </w:pPr>
            <w:r>
              <w:t>10,0 процента - солидарная часть тарифа страховых взносов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A4F">
            <w:pPr>
              <w:pStyle w:val="afff"/>
            </w:pPr>
            <w:r>
              <w:t>10,0 процента - солидарная часть тарифа страховых взносов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A4F">
            <w:pPr>
              <w:pStyle w:val="afff"/>
            </w:pPr>
            <w:r>
              <w:t>0,0 процента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A4F">
            <w:pPr>
              <w:pStyle w:val="afff"/>
            </w:pPr>
            <w:r>
              <w:t>10,0 процента - солидарная часть тарифа страховых взносов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A4F">
            <w:pPr>
              <w:pStyle w:val="afff"/>
            </w:pPr>
            <w:r>
              <w:t>0,0 процента.</w:t>
            </w:r>
          </w:p>
        </w:tc>
      </w:tr>
    </w:tbl>
    <w:p w:rsidR="00000000" w:rsidRDefault="00403A4F"/>
    <w:p w:rsidR="00000000" w:rsidRDefault="00403A4F">
      <w:r>
        <w:t xml:space="preserve">Расчетные документы на уплату страховых взносов на обязательное пенсионное страхование за расчетные периоды до 01.01.2014 необходимо заполнять в соответствии с </w:t>
      </w:r>
      <w:hyperlink r:id="rId18" w:history="1">
        <w:r>
          <w:rPr>
            <w:rStyle w:val="a4"/>
          </w:rPr>
          <w:t>приказом</w:t>
        </w:r>
      </w:hyperlink>
      <w:r>
        <w:t xml:space="preserve"> Министерства финансов Российской Федерации от 21 декабря 2012 года N 171н "Об утверждении Указаний о порядке применения бюджетной классификации Российской Федерации на 2013 год и на плановый период 2014 и 2015 годов" с применением КБ</w:t>
      </w:r>
      <w:r>
        <w:t>К, предназначенного для учета страховых взносов, зачисляемых в Пенсионный фонд Российской Федерации на выплату страховой части трудовой пенсии и зачисляемых в Пенсионный фонд Российской Федерации на выплату накопительной части трудовой пенсии.</w:t>
      </w:r>
    </w:p>
    <w:p w:rsidR="00000000" w:rsidRDefault="00403A4F">
      <w:r>
        <w:t xml:space="preserve">В реквизите </w:t>
      </w:r>
      <w:hyperlink r:id="rId19" w:history="1">
        <w:r>
          <w:rPr>
            <w:rStyle w:val="a4"/>
          </w:rPr>
          <w:t>105</w:t>
        </w:r>
      </w:hyperlink>
      <w:r>
        <w:t xml:space="preserve"> распоряжений о переводе денежных средств в уплату платежей в бюджетную систему Российской Федерации указывается значение кода, присвоенного территории муниципального образования или населенного пункта, входящей в </w:t>
      </w:r>
      <w:r>
        <w:t xml:space="preserve">состав муниципального образования в соответствии с Общероссийским классификатором территорий муниципальных образований (далее - </w:t>
      </w:r>
      <w:hyperlink r:id="rId20" w:history="1">
        <w:r>
          <w:rPr>
            <w:rStyle w:val="a4"/>
          </w:rPr>
          <w:t>ОКТМО</w:t>
        </w:r>
      </w:hyperlink>
      <w:r>
        <w:t>). При этом указывается код территории на которой мобилизуются денежные средства от упл</w:t>
      </w:r>
      <w:r>
        <w:t>аты страховых взносов и иных платежей.</w:t>
      </w:r>
    </w:p>
    <w:p w:rsidR="00000000" w:rsidRDefault="00403A4F"/>
    <w:p w:rsidR="00000000" w:rsidRDefault="00403A4F">
      <w:r>
        <w:t xml:space="preserve">28.12.2013 принят </w:t>
      </w:r>
      <w:hyperlink r:id="rId21" w:history="1">
        <w:r>
          <w:rPr>
            <w:rStyle w:val="a4"/>
          </w:rPr>
          <w:t>Федеральный закон</w:t>
        </w:r>
      </w:hyperlink>
      <w:r>
        <w:t xml:space="preserve"> N 426-ФЗ "О специальной оценке условий труда". Основной целью Закона N 426-ФЗ является унификация процедуры оценки условий труда на рабочих мест</w:t>
      </w:r>
      <w:r>
        <w:t>ах как единого способа реализации установленного пенсионным законодательством механизма освобождения работодателей от уплаты страховых взносов в Пенсионный фонд РФ и механизма предоставления, предусмотренных законодательством гарантий и компенсаций, а такж</w:t>
      </w:r>
      <w:r>
        <w:t>е формирование комплекса мер экономического стимулирования работодателей к улучшению условий и охраны труда.</w:t>
      </w:r>
    </w:p>
    <w:p w:rsidR="00000000" w:rsidRDefault="00403A4F">
      <w:r>
        <w:t xml:space="preserve">В целях реализации </w:t>
      </w:r>
      <w:hyperlink r:id="rId22" w:history="1">
        <w:r>
          <w:rPr>
            <w:rStyle w:val="a4"/>
          </w:rPr>
          <w:t>Закона</w:t>
        </w:r>
      </w:hyperlink>
      <w:r>
        <w:t xml:space="preserve"> N 426-ФЗ положениями </w:t>
      </w:r>
      <w:hyperlink r:id="rId23" w:history="1">
        <w:r>
          <w:rPr>
            <w:rStyle w:val="a4"/>
          </w:rPr>
          <w:t>Федерального закона</w:t>
        </w:r>
      </w:hyperlink>
      <w:r>
        <w:t xml:space="preserve"> от </w:t>
      </w:r>
      <w:r>
        <w:lastRenderedPageBreak/>
        <w:t xml:space="preserve">28.12.2013 г. N 421-ФЗ "О внесении изменений в отдельные законодательные акты Российской Федерации в связи с принятием Федерального закона "О специальной оценке условий труда"" вносятся изменения в </w:t>
      </w:r>
      <w:hyperlink r:id="rId24" w:history="1">
        <w:r>
          <w:rPr>
            <w:rStyle w:val="a4"/>
          </w:rPr>
          <w:t>статью 58.3</w:t>
        </w:r>
      </w:hyperlink>
      <w:r>
        <w:t xml:space="preserve"> Зак</w:t>
      </w:r>
      <w:r>
        <w:t xml:space="preserve">она N 212-ФЗ, с учётом которых устанавливается, что в зависимости от результатов специальной оценки условий труда, проводимой в порядке, установленном законодательством Российской Федерации, класса условий труда взамен установленных в </w:t>
      </w:r>
      <w:hyperlink r:id="rId25" w:history="1">
        <w:r>
          <w:rPr>
            <w:rStyle w:val="a4"/>
          </w:rPr>
          <w:t>частях 1</w:t>
        </w:r>
      </w:hyperlink>
      <w:r>
        <w:t xml:space="preserve"> и </w:t>
      </w:r>
      <w:hyperlink r:id="rId26" w:history="1">
        <w:r>
          <w:rPr>
            <w:rStyle w:val="a4"/>
          </w:rPr>
          <w:t>2 статьи 58.3</w:t>
        </w:r>
      </w:hyperlink>
      <w:r>
        <w:t xml:space="preserve"> Федерального закона 212-ФЗ дополнительных тарифов применяются следующие дополнительные тарифы страховых взносов в Пенсионный фонд Российской Федерации:</w:t>
      </w:r>
    </w:p>
    <w:p w:rsidR="00000000" w:rsidRDefault="00403A4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7"/>
        <w:gridCol w:w="2754"/>
        <w:gridCol w:w="39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A4F">
            <w:pPr>
              <w:pStyle w:val="afff"/>
            </w:pPr>
            <w:r>
              <w:t>Опасный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A4F">
            <w:pPr>
              <w:pStyle w:val="aff6"/>
              <w:jc w:val="center"/>
            </w:pPr>
            <w: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A4F">
            <w:pPr>
              <w:pStyle w:val="afff"/>
            </w:pPr>
            <w:r>
              <w:t>8,0 процент</w:t>
            </w:r>
            <w:r>
              <w:t>а - солидарная часть тарифа страховых взносов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A4F">
            <w:pPr>
              <w:pStyle w:val="afff"/>
            </w:pPr>
            <w:r>
              <w:t>Вредный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A4F">
            <w:pPr>
              <w:pStyle w:val="aff6"/>
              <w:jc w:val="center"/>
            </w:pPr>
            <w:r>
              <w:t>3.4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A4F">
            <w:pPr>
              <w:pStyle w:val="afff"/>
            </w:pPr>
            <w:r>
              <w:t>7,0 процента - солидарная часть тарифа страховых взносов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6"/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A4F">
            <w:pPr>
              <w:pStyle w:val="aff6"/>
              <w:jc w:val="center"/>
            </w:pPr>
            <w:r>
              <w:t>3.3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A4F">
            <w:pPr>
              <w:pStyle w:val="afff"/>
            </w:pPr>
            <w:r>
              <w:t>6,0 процента - солидарная часть тарифа страховых взносов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6"/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A4F">
            <w:pPr>
              <w:pStyle w:val="aff6"/>
              <w:jc w:val="center"/>
            </w:pPr>
            <w:r>
              <w:t>3.2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A4F">
            <w:pPr>
              <w:pStyle w:val="afff"/>
            </w:pPr>
            <w:r>
              <w:t>4,0 процента - солидарная часть тарифа страховых взносов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3A4F">
            <w:pPr>
              <w:pStyle w:val="aff6"/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A4F">
            <w:pPr>
              <w:pStyle w:val="aff6"/>
              <w:jc w:val="center"/>
            </w:pPr>
            <w: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A4F">
            <w:pPr>
              <w:pStyle w:val="afff"/>
            </w:pPr>
            <w:r>
              <w:t>2,0 процента - солидарная часть тарифа страховых взносов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A4F">
            <w:pPr>
              <w:pStyle w:val="afff"/>
            </w:pPr>
            <w:r>
              <w:t>Допустимый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A4F">
            <w:pPr>
              <w:pStyle w:val="aff6"/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A4F">
            <w:pPr>
              <w:pStyle w:val="afff"/>
            </w:pPr>
            <w:r>
              <w:t>0,0 процента - солидарная часть тарифа страховых взносов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A4F">
            <w:pPr>
              <w:pStyle w:val="afff"/>
            </w:pPr>
            <w:r>
              <w:t>Оптимальный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A4F">
            <w:pPr>
              <w:pStyle w:val="aff6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A4F">
            <w:pPr>
              <w:pStyle w:val="afff"/>
            </w:pPr>
            <w:r>
              <w:t>0,0 процента - солидарная часть тарифа страховых взносов</w:t>
            </w:r>
          </w:p>
        </w:tc>
      </w:tr>
    </w:tbl>
    <w:p w:rsidR="00000000" w:rsidRDefault="00403A4F"/>
    <w:p w:rsidR="00000000" w:rsidRDefault="00403A4F">
      <w:r>
        <w:t>Для уплаты страховых взносов по дополнительным тарифам в 2014 году применяются коды бюджетной классификации (</w:t>
      </w:r>
      <w:hyperlink r:id="rId27" w:history="1">
        <w:r>
          <w:rPr>
            <w:rStyle w:val="a4"/>
          </w:rPr>
          <w:t>КБК</w:t>
        </w:r>
      </w:hyperlink>
      <w:r>
        <w:t xml:space="preserve">), действовавшие в 2013 году для уплаты взносов, установленных </w:t>
      </w:r>
      <w:hyperlink r:id="rId28" w:history="1">
        <w:r>
          <w:rPr>
            <w:rStyle w:val="a4"/>
          </w:rPr>
          <w:t>част</w:t>
        </w:r>
        <w:r>
          <w:rPr>
            <w:rStyle w:val="a4"/>
          </w:rPr>
          <w:t>ями 1</w:t>
        </w:r>
      </w:hyperlink>
      <w:r>
        <w:t xml:space="preserve">, </w:t>
      </w:r>
      <w:hyperlink r:id="rId29" w:history="1">
        <w:r>
          <w:rPr>
            <w:rStyle w:val="a4"/>
          </w:rPr>
          <w:t>2 статьи 58.3</w:t>
        </w:r>
      </w:hyperlink>
      <w:r>
        <w:t xml:space="preserve"> 212-ФЗ.</w:t>
      </w:r>
    </w:p>
    <w:p w:rsidR="00000000" w:rsidRDefault="00403A4F">
      <w:r>
        <w:t xml:space="preserve">В соответствии с </w:t>
      </w:r>
      <w:hyperlink r:id="rId30" w:history="1">
        <w:r>
          <w:rPr>
            <w:rStyle w:val="a4"/>
          </w:rPr>
          <w:t>Федеральным законом</w:t>
        </w:r>
      </w:hyperlink>
      <w:r>
        <w:t xml:space="preserve"> от 21.12.2013 N 358-ФЗ "О внесении изменений в отдельные законодательные акты Российской Федерации в части совер</w:t>
      </w:r>
      <w:r>
        <w:t>шенствования порядка взыскания платежей в государственные внебюджетные фонды" увеличиваются сроки взыскания задолженности по платежам во внебюджетные фонды.</w:t>
      </w:r>
    </w:p>
    <w:p w:rsidR="00000000" w:rsidRDefault="00403A4F">
      <w:r>
        <w:t xml:space="preserve">Предусматривается, что в случае, если указанная в требовании неуплаченная сумма страховых взносов, </w:t>
      </w:r>
      <w:r>
        <w:t>пеней и штрафов не превышает в части платежей, администрируемых ПФР - 1500 рублей для плательщиков - юридических лиц, решение о взыскании задолженности за счёт денежных средств со счетов плательщика может быть принято в течение одного года и двух месяцев п</w:t>
      </w:r>
      <w:r>
        <w:t>осле истечения срока исполнения самого раннего требования.</w:t>
      </w:r>
    </w:p>
    <w:p w:rsidR="00000000" w:rsidRDefault="00403A4F">
      <w:r>
        <w:t>Органам контроля за уплатой страховых взносов предоставляется право принимать одно решение о взыскании по нескольким неисполненным требованиям об уплате страховых взносов. Постановление о взыскании</w:t>
      </w:r>
      <w:r>
        <w:t xml:space="preserve"> таких сумм задолженности за счет имущества плательщика страховых взносов - организации или индивидуального предпринимателя принимается после истечения срока, установленного в требованиях, но не позднее двух лет после истечения срока исполнения самого ранн</w:t>
      </w:r>
      <w:r>
        <w:t>его требования.</w:t>
      </w:r>
    </w:p>
    <w:p w:rsidR="00000000" w:rsidRDefault="00403A4F">
      <w:r>
        <w:t>Также установлена законодательством минимальная сумма взыскания по нескольким неисполненным требованиям на взыскание задолженности для физических лиц - 500 рублей.</w:t>
      </w:r>
    </w:p>
    <w:p w:rsidR="00403A4F" w:rsidRDefault="00403A4F"/>
    <w:sectPr w:rsidR="00403A4F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A6166"/>
    <w:rsid w:val="00403A4F"/>
    <w:rsid w:val="008A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100000" TargetMode="External"/><Relationship Id="rId13" Type="http://schemas.openxmlformats.org/officeDocument/2006/relationships/hyperlink" Target="garantF1://70425332.0" TargetMode="External"/><Relationship Id="rId18" Type="http://schemas.openxmlformats.org/officeDocument/2006/relationships/hyperlink" Target="garantF1://70192486.0" TargetMode="External"/><Relationship Id="rId26" Type="http://schemas.openxmlformats.org/officeDocument/2006/relationships/hyperlink" Target="garantF1://12068559.583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70452676.0" TargetMode="External"/><Relationship Id="rId7" Type="http://schemas.openxmlformats.org/officeDocument/2006/relationships/hyperlink" Target="garantF1://70308460.100000" TargetMode="External"/><Relationship Id="rId12" Type="http://schemas.openxmlformats.org/officeDocument/2006/relationships/hyperlink" Target="garantF1://12025143.33012" TargetMode="External"/><Relationship Id="rId17" Type="http://schemas.openxmlformats.org/officeDocument/2006/relationships/hyperlink" Target="garantF1://70423094.13" TargetMode="External"/><Relationship Id="rId25" Type="http://schemas.openxmlformats.org/officeDocument/2006/relationships/hyperlink" Target="garantF1://12068559.5831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25143.336" TargetMode="External"/><Relationship Id="rId20" Type="http://schemas.openxmlformats.org/officeDocument/2006/relationships/hyperlink" Target="garantF1://70365940.0" TargetMode="External"/><Relationship Id="rId29" Type="http://schemas.openxmlformats.org/officeDocument/2006/relationships/hyperlink" Target="garantF1://12068559.5832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422738.0" TargetMode="External"/><Relationship Id="rId11" Type="http://schemas.openxmlformats.org/officeDocument/2006/relationships/hyperlink" Target="garantF1://70308460.100000" TargetMode="External"/><Relationship Id="rId24" Type="http://schemas.openxmlformats.org/officeDocument/2006/relationships/hyperlink" Target="garantF1://12068559.5803" TargetMode="External"/><Relationship Id="rId32" Type="http://schemas.openxmlformats.org/officeDocument/2006/relationships/theme" Target="theme/theme1.xml"/><Relationship Id="rId5" Type="http://schemas.openxmlformats.org/officeDocument/2006/relationships/hyperlink" Target="garantF1://70456288.0" TargetMode="External"/><Relationship Id="rId15" Type="http://schemas.openxmlformats.org/officeDocument/2006/relationships/hyperlink" Target="garantF1://12025143.334" TargetMode="External"/><Relationship Id="rId23" Type="http://schemas.openxmlformats.org/officeDocument/2006/relationships/hyperlink" Target="garantF1://70452680.0" TargetMode="External"/><Relationship Id="rId28" Type="http://schemas.openxmlformats.org/officeDocument/2006/relationships/hyperlink" Target="garantF1://12068559.5831" TargetMode="External"/><Relationship Id="rId10" Type="http://schemas.openxmlformats.org/officeDocument/2006/relationships/hyperlink" Target="garantF1://70425332.34" TargetMode="External"/><Relationship Id="rId19" Type="http://schemas.openxmlformats.org/officeDocument/2006/relationships/hyperlink" Target="garantF1://70094476.3018" TargetMode="External"/><Relationship Id="rId31" Type="http://schemas.openxmlformats.org/officeDocument/2006/relationships/fontTable" Target="fontTable.xml"/><Relationship Id="rId4" Type="http://schemas.openxmlformats.org/officeDocument/2006/relationships/hyperlink" Target="garantF1://70456322.0" TargetMode="External"/><Relationship Id="rId9" Type="http://schemas.openxmlformats.org/officeDocument/2006/relationships/hyperlink" Target="garantF1://70423094.0" TargetMode="External"/><Relationship Id="rId14" Type="http://schemas.openxmlformats.org/officeDocument/2006/relationships/hyperlink" Target="garantF1://12025143.611" TargetMode="External"/><Relationship Id="rId22" Type="http://schemas.openxmlformats.org/officeDocument/2006/relationships/hyperlink" Target="garantF1://70452676.0" TargetMode="External"/><Relationship Id="rId27" Type="http://schemas.openxmlformats.org/officeDocument/2006/relationships/hyperlink" Target="garantF1://70308460.100000" TargetMode="External"/><Relationship Id="rId30" Type="http://schemas.openxmlformats.org/officeDocument/2006/relationships/hyperlink" Target="garantF1://7044487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1868</Words>
  <Characters>10649</Characters>
  <Application>Microsoft Office Word</Application>
  <DocSecurity>0</DocSecurity>
  <Lines>88</Lines>
  <Paragraphs>24</Paragraphs>
  <ScaleCrop>false</ScaleCrop>
  <Company>НПП "Гарант-Сервис"</Company>
  <LinksUpToDate>false</LinksUpToDate>
  <CharactersWithSpaces>12493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0908</cp:lastModifiedBy>
  <cp:revision>2</cp:revision>
  <dcterms:created xsi:type="dcterms:W3CDTF">2014-02-10T13:11:00Z</dcterms:created>
  <dcterms:modified xsi:type="dcterms:W3CDTF">2014-02-10T13:11:00Z</dcterms:modified>
</cp:coreProperties>
</file>